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 w:val="0"/>
          <w:bCs w:val="0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sz w:val="28"/>
          <w:szCs w:val="28"/>
        </w:rPr>
        <w:t>附：</w:t>
      </w:r>
      <w:r>
        <w:rPr>
          <w:rFonts w:hint="eastAsia" w:ascii="仿宋_GB2312" w:eastAsia="仿宋_GB2312"/>
          <w:b w:val="0"/>
          <w:bCs w:val="0"/>
          <w:sz w:val="28"/>
          <w:szCs w:val="28"/>
        </w:rPr>
        <w:t>各二级学院学唱校歌人员安排表</w:t>
      </w:r>
      <w:bookmarkStart w:id="0" w:name="_GoBack"/>
      <w:bookmarkEnd w:id="0"/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二级学院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政管学院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川茶学院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美艺学院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文新学院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生工学院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物电学院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经管学院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资环学院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计算机学院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数学学院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化工学院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中德学院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体育学院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外国语学院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教科学院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总计</w:t>
            </w:r>
          </w:p>
        </w:tc>
        <w:tc>
          <w:tcPr>
            <w:tcW w:w="4261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A6639"/>
    <w:rsid w:val="068A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2018-11-09T06:51:00Z</dcterms:created>
  <dc:creator>♛   xu</dc:creator>
  <cp:lastModifiedBy>♛   xu</cp:lastModifiedBy>
  <dcterms:modified xsi:type="dcterms:W3CDTF">2018-11-09T06:51:46Z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